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56"/>
        <w:rPr>
          <w:rFonts w:ascii="微软雅黑" w:hAnsi="微软雅黑" w:cs="宋体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>第十</w:t>
      </w:r>
      <w:r>
        <w:rPr>
          <w:rFonts w:hint="eastAsia"/>
          <w:sz w:val="24"/>
          <w:szCs w:val="24"/>
          <w:lang w:val="en-US" w:eastAsia="zh-CN"/>
        </w:rPr>
        <w:t>七</w:t>
      </w:r>
      <w:r>
        <w:rPr>
          <w:rFonts w:hint="eastAsia"/>
          <w:sz w:val="24"/>
          <w:szCs w:val="24"/>
        </w:rPr>
        <w:t>届中国IDC产业年度大典-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DCC202</w:t>
      </w:r>
      <w:r>
        <w:rPr>
          <w:rFonts w:hint="eastAsia"/>
          <w:sz w:val="24"/>
          <w:szCs w:val="24"/>
          <w:lang w:val="en-US" w:eastAsia="zh-CN"/>
        </w:rPr>
        <w:t>2上海站</w:t>
      </w:r>
      <w:r>
        <w:br w:type="textWrapping"/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年度“东数西算”碳中和先锋奖</w:t>
      </w:r>
      <w:r>
        <w:rPr>
          <w:rFonts w:hint="eastAsia" w:ascii="微软雅黑" w:hAnsi="微软雅黑" w:cs="宋体"/>
          <w:color w:val="000000"/>
          <w:kern w:val="0"/>
          <w:szCs w:val="21"/>
        </w:rPr>
        <w:t xml:space="preserve"> 申报表</w:t>
      </w:r>
    </w:p>
    <w:p>
      <w:pPr>
        <w:spacing w:after="156"/>
        <w:jc w:val="righ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填报日期：2</w:t>
      </w:r>
      <w:r>
        <w:rPr>
          <w:sz w:val="24"/>
          <w:szCs w:val="28"/>
        </w:rPr>
        <w:t>02</w:t>
      </w:r>
      <w:r>
        <w:rPr>
          <w:rFonts w:hint="eastAsia"/>
          <w:sz w:val="24"/>
          <w:szCs w:val="28"/>
          <w:lang w:val="en-US" w:eastAsia="zh-CN"/>
        </w:rPr>
        <w:t>2</w:t>
      </w:r>
      <w:r>
        <w:rPr>
          <w:rFonts w:hint="eastAsia"/>
          <w:sz w:val="24"/>
          <w:szCs w:val="28"/>
        </w:rPr>
        <w:t xml:space="preserve">年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月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tbl>
      <w:tblPr>
        <w:tblStyle w:val="6"/>
        <w:tblW w:w="964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20"/>
        <w:gridCol w:w="1042"/>
        <w:gridCol w:w="1620"/>
        <w:gridCol w:w="398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例：中科智道（北京）科技股份有限公司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例：中科智道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企业Logo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大于300*300清晰图片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4580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增值业务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  <w:t>服务商</w:t>
            </w:r>
            <w:r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  <w:t>必填项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许可证类型</w:t>
            </w:r>
          </w:p>
        </w:tc>
        <w:tc>
          <w:tcPr>
            <w:tcW w:w="628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IDC  </w:t>
            </w:r>
            <w:r>
              <w:rPr>
                <w:rFonts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>ISP</w:t>
            </w:r>
            <w:r>
              <w:rPr>
                <w:rFonts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>ICP</w:t>
            </w:r>
            <w:r>
              <w:rPr>
                <w:rFonts w:hint="eastAsia" w:ascii="宋体" w:hAnsi="宋体" w:eastAsia="宋体" w:cs="宋体"/>
                <w:i/>
                <w:iCs/>
                <w:snapToGrid/>
                <w:color w:val="000000"/>
                <w:kern w:val="0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628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　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【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可填多个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主营业务 及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核心能力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(至少一项</w:t>
            </w:r>
            <w:r>
              <w:rPr>
                <w:rFonts w:hint="eastAsia"/>
                <w:sz w:val="24"/>
                <w:szCs w:val="28"/>
                <w:lang w:eastAsia="zh-CN"/>
              </w:rPr>
              <w:t>，</w:t>
            </w: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可添加附件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、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东数西算布局</w:t>
            </w:r>
            <w:r>
              <w:rPr>
                <w:rFonts w:hint="eastAsia"/>
                <w:sz w:val="24"/>
                <w:szCs w:val="28"/>
              </w:rPr>
              <w:t>概况（机房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布局、</w:t>
            </w:r>
            <w:r>
              <w:rPr>
                <w:rFonts w:hint="eastAsia"/>
                <w:sz w:val="24"/>
                <w:szCs w:val="28"/>
              </w:rPr>
              <w:t>数量、面积、机柜数量等）：</w:t>
            </w: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2、</w:t>
            </w:r>
            <w:r>
              <w:rPr>
                <w:sz w:val="24"/>
                <w:szCs w:val="28"/>
              </w:rPr>
              <w:t>2021</w:t>
            </w:r>
            <w:r>
              <w:rPr>
                <w:rFonts w:hint="eastAsia"/>
                <w:sz w:val="24"/>
                <w:szCs w:val="28"/>
              </w:rPr>
              <w:t>重点项目：</w:t>
            </w: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3、行业技术输出（如专利、白皮书等）</w:t>
            </w: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年度碳中和</w:t>
            </w:r>
          </w:p>
          <w:p>
            <w:pPr>
              <w:spacing w:after="156" w:line="240" w:lineRule="auto"/>
              <w:jc w:val="center"/>
              <w:rPr>
                <w:rFonts w:hint="default" w:ascii="微软雅黑" w:hAnsi="微软雅黑" w:eastAsia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成绩说明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spacing w:after="156" w:line="240" w:lineRule="auto"/>
              <w:rPr>
                <w:rFonts w:hint="default" w:ascii="等线" w:hAnsi="等线" w:eastAsia="微软雅黑" w:cs="宋体"/>
                <w:i/>
                <w:i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i/>
                <w:iCs/>
                <w:color w:val="7F7F7F" w:themeColor="background1" w:themeShade="80"/>
                <w:sz w:val="24"/>
                <w:szCs w:val="28"/>
              </w:rPr>
              <w:t>2021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年度企业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在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碳中和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领域的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举措及成果</w:t>
            </w:r>
            <w:r>
              <w:rPr>
                <w:rFonts w:hint="eastAsia"/>
                <w:b w:val="0"/>
                <w:bCs w:val="0"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（可提交附件）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年度荣誉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所获称号、奖项、证书等， 可提交图片、文档等附件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简述申报奖项理由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，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将作为网络评选页面说明，请认真填写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（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3</w:t>
            </w:r>
            <w:r>
              <w:rPr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00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字以内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rPr>
                <w:rFonts w:ascii="Times New Roman" w:hAnsi="Times New Roman" w:cs="Times New Roman" w:eastAsiaTheme="minorEastAsia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afterLines="0"/>
        <w:textAlignment w:val="auto"/>
        <w:rPr>
          <w:b/>
          <w:bCs/>
        </w:rPr>
      </w:pPr>
      <w:r>
        <w:rPr>
          <w:rFonts w:hint="eastAsia"/>
          <w:b/>
          <w:bCs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rPr>
          <w:rFonts w:hint="eastAsia"/>
        </w:rPr>
        <w:t>1、申报企业需保证所填写信息真实、无误。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rPr>
          <w:rFonts w:hint="eastAsia"/>
        </w:rPr>
        <w:t>2、企业申报奖项所提供项目及案例必须为企业真实项目。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t>3、请于申报截止时间前（</w:t>
      </w:r>
      <w:r>
        <w:rPr>
          <w:highlight w:val="yellow"/>
        </w:rPr>
        <w:t>202</w:t>
      </w:r>
      <w:r>
        <w:rPr>
          <w:rFonts w:hint="eastAsia"/>
          <w:highlight w:val="yellow"/>
          <w:lang w:val="en-US" w:eastAsia="zh-CN"/>
        </w:rPr>
        <w:t>2</w:t>
      </w:r>
      <w:bookmarkStart w:id="2" w:name="_GoBack"/>
      <w:bookmarkEnd w:id="2"/>
      <w:r>
        <w:rPr>
          <w:highlight w:val="yellow"/>
        </w:rPr>
        <w:t>年</w:t>
      </w:r>
      <w:r>
        <w:rPr>
          <w:rFonts w:hint="eastAsia"/>
          <w:highlight w:val="yellow"/>
          <w:lang w:val="en-US" w:eastAsia="zh-CN"/>
        </w:rPr>
        <w:t>3</w:t>
      </w:r>
      <w:r>
        <w:rPr>
          <w:highlight w:val="yellow"/>
        </w:rPr>
        <w:t>月</w:t>
      </w:r>
      <w:r>
        <w:rPr>
          <w:rFonts w:hint="eastAsia"/>
          <w:highlight w:val="yellow"/>
          <w:lang w:val="en-US" w:eastAsia="zh-CN"/>
        </w:rPr>
        <w:t>31</w:t>
      </w:r>
      <w:r>
        <w:rPr>
          <w:highlight w:val="yellow"/>
        </w:rPr>
        <w:t>日前</w:t>
      </w:r>
      <w:r>
        <w:t>）填写申报表，并发送</w:t>
      </w:r>
      <w:r>
        <w:rPr>
          <w:highlight w:val="yellow"/>
        </w:rPr>
        <w:t>邮件至：linda.li@idcquan.com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jc w:val="distribute"/>
      <w:rPr>
        <w:rFonts w:hint="default"/>
        <w:lang w:val="en-US"/>
      </w:rPr>
    </w:pPr>
    <w:bookmarkStart w:id="0" w:name="_Hlk76562518"/>
    <w:bookmarkStart w:id="1" w:name="_Hlk76562517"/>
    <w:r>
      <w:rPr>
        <w:rFonts w:hint="eastAsia"/>
        <w:sz w:val="21"/>
        <w:szCs w:val="22"/>
      </w:rPr>
      <w:t>第十</w:t>
    </w:r>
    <w:r>
      <w:rPr>
        <w:rFonts w:hint="eastAsia"/>
        <w:sz w:val="21"/>
        <w:szCs w:val="22"/>
        <w:lang w:val="en-US" w:eastAsia="zh-CN"/>
      </w:rPr>
      <w:t>七</w:t>
    </w:r>
    <w:r>
      <w:rPr>
        <w:rFonts w:hint="eastAsia"/>
        <w:sz w:val="21"/>
        <w:szCs w:val="22"/>
      </w:rPr>
      <w:t xml:space="preserve">届中国IDC产业年度大典 </w:t>
    </w:r>
    <w:r>
      <w:rPr>
        <w:rFonts w:hint="eastAsia"/>
        <w:sz w:val="21"/>
        <w:szCs w:val="22"/>
        <w:lang w:val="en-US" w:eastAsia="zh-CN"/>
      </w:rPr>
      <w:t xml:space="preserve">     </w:t>
    </w:r>
    <w:r>
      <w:rPr>
        <w:rFonts w:hint="eastAsia"/>
        <w:b/>
        <w:bCs/>
        <w:sz w:val="21"/>
        <w:szCs w:val="22"/>
        <w:lang w:val="en-US" w:eastAsia="zh-CN"/>
      </w:rPr>
      <w:t>打造计算高地 赋能千行百业</w:t>
    </w:r>
    <w:r>
      <w:rPr>
        <w:rFonts w:hint="eastAsia"/>
        <w:sz w:val="21"/>
        <w:szCs w:val="22"/>
        <w:lang w:val="en-US" w:eastAsia="zh-CN"/>
      </w:rPr>
      <w:t>-</w:t>
    </w:r>
    <w:r>
      <w:rPr>
        <w:sz w:val="21"/>
        <w:szCs w:val="22"/>
      </w:rPr>
      <w:t xml:space="preserve"> IDCC202</w:t>
    </w:r>
    <w:r>
      <w:rPr>
        <w:rFonts w:hint="eastAsia"/>
        <w:sz w:val="21"/>
        <w:szCs w:val="22"/>
        <w:lang w:val="en-US" w:eastAsia="zh-CN"/>
      </w:rPr>
      <w:t>2</w:t>
    </w:r>
    <w:bookmarkEnd w:id="0"/>
    <w:bookmarkEnd w:id="1"/>
    <w:r>
      <w:rPr>
        <w:rFonts w:hint="eastAsia"/>
        <w:sz w:val="21"/>
        <w:szCs w:val="22"/>
        <w:lang w:val="en-US" w:eastAsia="zh-CN"/>
      </w:rPr>
      <w:t>上海站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29"/>
    <w:rsid w:val="00005FCF"/>
    <w:rsid w:val="000959C5"/>
    <w:rsid w:val="000C1766"/>
    <w:rsid w:val="00143660"/>
    <w:rsid w:val="00186A1A"/>
    <w:rsid w:val="001B7110"/>
    <w:rsid w:val="001F5B34"/>
    <w:rsid w:val="001F60F7"/>
    <w:rsid w:val="00224AF5"/>
    <w:rsid w:val="00234920"/>
    <w:rsid w:val="00242786"/>
    <w:rsid w:val="00282085"/>
    <w:rsid w:val="00311DB8"/>
    <w:rsid w:val="00325E14"/>
    <w:rsid w:val="0033088F"/>
    <w:rsid w:val="003D77B8"/>
    <w:rsid w:val="003F78D5"/>
    <w:rsid w:val="0040682C"/>
    <w:rsid w:val="00425DD2"/>
    <w:rsid w:val="004B759A"/>
    <w:rsid w:val="004C07C0"/>
    <w:rsid w:val="004C3BD8"/>
    <w:rsid w:val="004C4329"/>
    <w:rsid w:val="004E24C5"/>
    <w:rsid w:val="00567D74"/>
    <w:rsid w:val="005737B9"/>
    <w:rsid w:val="00592D5E"/>
    <w:rsid w:val="005A1973"/>
    <w:rsid w:val="00602F45"/>
    <w:rsid w:val="00611A24"/>
    <w:rsid w:val="006319E7"/>
    <w:rsid w:val="00743B56"/>
    <w:rsid w:val="007A3FAD"/>
    <w:rsid w:val="008576E1"/>
    <w:rsid w:val="008A0D54"/>
    <w:rsid w:val="008A122B"/>
    <w:rsid w:val="008A2BFB"/>
    <w:rsid w:val="008F24A3"/>
    <w:rsid w:val="00972B6A"/>
    <w:rsid w:val="00A5230C"/>
    <w:rsid w:val="00A701B2"/>
    <w:rsid w:val="00A9723B"/>
    <w:rsid w:val="00AD3E47"/>
    <w:rsid w:val="00BA631B"/>
    <w:rsid w:val="00BD4C8A"/>
    <w:rsid w:val="00C55A32"/>
    <w:rsid w:val="00C871D9"/>
    <w:rsid w:val="00C95371"/>
    <w:rsid w:val="00CE24A6"/>
    <w:rsid w:val="00CE34A5"/>
    <w:rsid w:val="00D07678"/>
    <w:rsid w:val="00D12F82"/>
    <w:rsid w:val="00D20F34"/>
    <w:rsid w:val="00D259B7"/>
    <w:rsid w:val="00D62CB5"/>
    <w:rsid w:val="00D70A9B"/>
    <w:rsid w:val="00D7653B"/>
    <w:rsid w:val="00D83AB5"/>
    <w:rsid w:val="00D864B2"/>
    <w:rsid w:val="00D92AAA"/>
    <w:rsid w:val="00DB1191"/>
    <w:rsid w:val="00DE6DB7"/>
    <w:rsid w:val="00E03C26"/>
    <w:rsid w:val="00E2337E"/>
    <w:rsid w:val="00E25494"/>
    <w:rsid w:val="00EF517B"/>
    <w:rsid w:val="00F56A0C"/>
    <w:rsid w:val="00FA47D7"/>
    <w:rsid w:val="00FB4108"/>
    <w:rsid w:val="00FC79FE"/>
    <w:rsid w:val="034B4F6D"/>
    <w:rsid w:val="04ED29DE"/>
    <w:rsid w:val="06364E13"/>
    <w:rsid w:val="0A6C2012"/>
    <w:rsid w:val="0D2E6ECE"/>
    <w:rsid w:val="0D42763C"/>
    <w:rsid w:val="1114212F"/>
    <w:rsid w:val="132C67E2"/>
    <w:rsid w:val="13BA6291"/>
    <w:rsid w:val="154018F8"/>
    <w:rsid w:val="158569AD"/>
    <w:rsid w:val="17DB4333"/>
    <w:rsid w:val="183600FB"/>
    <w:rsid w:val="193A152D"/>
    <w:rsid w:val="1B42099B"/>
    <w:rsid w:val="1C2520EE"/>
    <w:rsid w:val="1F2F5772"/>
    <w:rsid w:val="20427EC3"/>
    <w:rsid w:val="2378512C"/>
    <w:rsid w:val="23E8624A"/>
    <w:rsid w:val="25CC095A"/>
    <w:rsid w:val="2663401B"/>
    <w:rsid w:val="27DB7EA2"/>
    <w:rsid w:val="299A499B"/>
    <w:rsid w:val="2CD221EE"/>
    <w:rsid w:val="2E5937D0"/>
    <w:rsid w:val="2F7E428F"/>
    <w:rsid w:val="304B7C99"/>
    <w:rsid w:val="30635B80"/>
    <w:rsid w:val="320C3E62"/>
    <w:rsid w:val="34B16E2A"/>
    <w:rsid w:val="378435C1"/>
    <w:rsid w:val="383D27F8"/>
    <w:rsid w:val="3A654204"/>
    <w:rsid w:val="3BBD1E1E"/>
    <w:rsid w:val="3CF17FD1"/>
    <w:rsid w:val="40CF0629"/>
    <w:rsid w:val="421B6683"/>
    <w:rsid w:val="424E1A22"/>
    <w:rsid w:val="42500858"/>
    <w:rsid w:val="426C3D93"/>
    <w:rsid w:val="44844692"/>
    <w:rsid w:val="467A34E7"/>
    <w:rsid w:val="4BF355BB"/>
    <w:rsid w:val="4E6652CF"/>
    <w:rsid w:val="4E7A5A6E"/>
    <w:rsid w:val="4FCC578C"/>
    <w:rsid w:val="516238F0"/>
    <w:rsid w:val="530E51B5"/>
    <w:rsid w:val="5318633D"/>
    <w:rsid w:val="53380D07"/>
    <w:rsid w:val="53E144A4"/>
    <w:rsid w:val="56156687"/>
    <w:rsid w:val="5C2933D3"/>
    <w:rsid w:val="61FC643D"/>
    <w:rsid w:val="62917095"/>
    <w:rsid w:val="64A46463"/>
    <w:rsid w:val="66F978FF"/>
    <w:rsid w:val="68865367"/>
    <w:rsid w:val="6BB84EB4"/>
    <w:rsid w:val="6CE163E5"/>
    <w:rsid w:val="720C498A"/>
    <w:rsid w:val="741231C5"/>
    <w:rsid w:val="746F1200"/>
    <w:rsid w:val="74AE1D28"/>
    <w:rsid w:val="75860620"/>
    <w:rsid w:val="75BF3CC6"/>
    <w:rsid w:val="770C71DA"/>
    <w:rsid w:val="783757D8"/>
    <w:rsid w:val="78460DB1"/>
    <w:rsid w:val="79FAE975"/>
    <w:rsid w:val="7A8D211A"/>
    <w:rsid w:val="7C5F7DAC"/>
    <w:rsid w:val="7FCB8FFD"/>
    <w:rsid w:val="7FDF22AF"/>
    <w:rsid w:val="7FEFED66"/>
    <w:rsid w:val="DB5EF787"/>
    <w:rsid w:val="FDBDC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360" w:lineRule="auto"/>
      <w:jc w:val="both"/>
    </w:pPr>
    <w:rPr>
      <w:rFonts w:eastAsia="微软雅黑" w:asciiTheme="minorHAnsi" w:hAnsiTheme="minorHAnsi" w:cstheme="minorBidi"/>
      <w:snapToGrid w:val="0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</Words>
  <Characters>533</Characters>
  <Lines>4</Lines>
  <Paragraphs>1</Paragraphs>
  <TotalTime>4</TotalTime>
  <ScaleCrop>false</ScaleCrop>
  <LinksUpToDate>false</LinksUpToDate>
  <CharactersWithSpaces>625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2021-07-07T09:30:00Z</dcterms:created>
  <dc:creator>IDC圈.W</dc:creator>
  <cp:lastModifiedBy>DuckulA</cp:lastModifiedBy>
  <cp:lastPrinted>2020-09-29T19:29:00Z</cp:lastPrinted>
  <dcterms:modified xsi:type="dcterms:W3CDTF">2022-03-02T10:17:58Z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B309FA7B93BD4D87AF7B9F5B9737C917</vt:lpwstr>
  </property>
</Properties>
</file>